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EF" w:rsidRPr="00B97BEF" w:rsidRDefault="007904D2" w:rsidP="00B97BEF">
      <w:pPr>
        <w:spacing w:after="0" w:line="240" w:lineRule="auto"/>
        <w:jc w:val="center"/>
        <w:rPr>
          <w:sz w:val="28"/>
        </w:rPr>
      </w:pPr>
      <w:r>
        <w:rPr>
          <w:b/>
          <w:bCs/>
          <w:sz w:val="28"/>
        </w:rPr>
        <w:t>Determine the Relative Importance of the S</w:t>
      </w:r>
      <w:r w:rsidR="00B97BEF" w:rsidRPr="00B97BEF">
        <w:rPr>
          <w:b/>
          <w:bCs/>
          <w:sz w:val="28"/>
        </w:rPr>
        <w:t>tanda</w:t>
      </w:r>
      <w:r>
        <w:rPr>
          <w:b/>
          <w:bCs/>
          <w:sz w:val="28"/>
        </w:rPr>
        <w:t>rds Being Taught During the SGO P</w:t>
      </w:r>
      <w:r w:rsidR="00B97BEF" w:rsidRPr="00B97BEF">
        <w:rPr>
          <w:b/>
          <w:bCs/>
          <w:sz w:val="28"/>
        </w:rPr>
        <w:t>eriod</w:t>
      </w:r>
    </w:p>
    <w:p w:rsidR="00B97BEF" w:rsidRPr="00B97BEF" w:rsidRDefault="00B97BEF" w:rsidP="00B97BEF">
      <w:pPr>
        <w:spacing w:after="0" w:line="240" w:lineRule="auto"/>
        <w:rPr>
          <w:b/>
        </w:rPr>
      </w:pPr>
      <w:r w:rsidRPr="00B97BEF">
        <w:rPr>
          <w:b/>
        </w:rPr>
        <w:t>Instructions</w:t>
      </w:r>
      <w:r w:rsidR="007904D2">
        <w:rPr>
          <w:b/>
        </w:rPr>
        <w:t>*</w:t>
      </w:r>
    </w:p>
    <w:p w:rsidR="0049291E" w:rsidRPr="00B97BEF" w:rsidRDefault="005A2834" w:rsidP="00B97BEF">
      <w:pPr>
        <w:numPr>
          <w:ilvl w:val="0"/>
          <w:numId w:val="1"/>
        </w:numPr>
        <w:spacing w:after="0" w:line="240" w:lineRule="auto"/>
      </w:pPr>
      <w:r w:rsidRPr="00B97BEF">
        <w:t>Using the criteria described, assign a score between 1 and 4 (1 is low priority, 4 is critical) for the four standards provided</w:t>
      </w:r>
      <w:r>
        <w:t>.</w:t>
      </w:r>
    </w:p>
    <w:p w:rsidR="0049291E" w:rsidRPr="00B97BEF" w:rsidRDefault="005A2834" w:rsidP="00B97BEF">
      <w:pPr>
        <w:numPr>
          <w:ilvl w:val="0"/>
          <w:numId w:val="1"/>
        </w:numPr>
        <w:spacing w:after="0" w:line="240" w:lineRule="auto"/>
      </w:pPr>
      <w:r w:rsidRPr="00B97BEF">
        <w:t>Rank the standards in order of importance (1</w:t>
      </w:r>
      <w:r w:rsidRPr="00B97BEF">
        <w:rPr>
          <w:vertAlign w:val="superscript"/>
        </w:rPr>
        <w:t>st</w:t>
      </w:r>
      <w:r w:rsidRPr="00B97BEF">
        <w:t>, 2</w:t>
      </w:r>
      <w:r w:rsidRPr="00B97BEF">
        <w:rPr>
          <w:vertAlign w:val="superscript"/>
        </w:rPr>
        <w:t>nd</w:t>
      </w:r>
      <w:r w:rsidRPr="00B97BEF">
        <w:t>, 3</w:t>
      </w:r>
      <w:r w:rsidRPr="00B97BEF">
        <w:rPr>
          <w:vertAlign w:val="superscript"/>
        </w:rPr>
        <w:t>rd</w:t>
      </w:r>
      <w:r w:rsidRPr="00B97BEF">
        <w:t>, etc. - ties not allowed)</w:t>
      </w:r>
    </w:p>
    <w:p w:rsidR="00B97BEF" w:rsidRDefault="005A2834" w:rsidP="00B97BEF">
      <w:pPr>
        <w:numPr>
          <w:ilvl w:val="0"/>
          <w:numId w:val="1"/>
        </w:numPr>
        <w:spacing w:after="0" w:line="240" w:lineRule="auto"/>
      </w:pPr>
      <w:r>
        <w:t xml:space="preserve">Provide a justification </w:t>
      </w:r>
      <w:r w:rsidRPr="00B97BEF">
        <w:t>for your decision</w:t>
      </w:r>
      <w:r>
        <w:t>s.</w:t>
      </w:r>
    </w:p>
    <w:p w:rsidR="00B97BEF" w:rsidRDefault="00B97BEF" w:rsidP="00B97BEF">
      <w:pPr>
        <w:spacing w:after="0" w:line="240" w:lineRule="auto"/>
        <w:ind w:left="720"/>
      </w:pPr>
    </w:p>
    <w:p w:rsidR="00B97BEF" w:rsidRPr="00B97BEF" w:rsidRDefault="00B97BEF" w:rsidP="00B97BEF">
      <w:pPr>
        <w:spacing w:after="0" w:line="240" w:lineRule="auto"/>
        <w:rPr>
          <w:b/>
        </w:rPr>
      </w:pPr>
      <w:r w:rsidRPr="00B97BEF">
        <w:rPr>
          <w:b/>
        </w:rPr>
        <w:t>Criteria</w:t>
      </w:r>
    </w:p>
    <w:p w:rsidR="0049291E" w:rsidRPr="00B97BEF" w:rsidRDefault="005A2834" w:rsidP="00B97BEF">
      <w:pPr>
        <w:numPr>
          <w:ilvl w:val="0"/>
          <w:numId w:val="2"/>
        </w:numPr>
        <w:spacing w:after="0" w:line="240" w:lineRule="auto"/>
      </w:pPr>
      <w:r w:rsidRPr="00B97BEF">
        <w:t>How much time is spent teaching the standard?</w:t>
      </w:r>
    </w:p>
    <w:p w:rsidR="0049291E" w:rsidRPr="00B97BEF" w:rsidRDefault="005A2834" w:rsidP="00B97BEF">
      <w:pPr>
        <w:numPr>
          <w:ilvl w:val="0"/>
          <w:numId w:val="2"/>
        </w:numPr>
        <w:spacing w:after="0" w:line="240" w:lineRule="auto"/>
      </w:pPr>
      <w:r w:rsidRPr="00B97BEF">
        <w:t>Does the standard have value beyond the current course in:</w:t>
      </w:r>
    </w:p>
    <w:p w:rsidR="0049291E" w:rsidRPr="00B97BEF" w:rsidRDefault="005A2834" w:rsidP="00B97BEF">
      <w:pPr>
        <w:numPr>
          <w:ilvl w:val="1"/>
          <w:numId w:val="2"/>
        </w:numPr>
        <w:spacing w:after="0" w:line="240" w:lineRule="auto"/>
      </w:pPr>
      <w:r w:rsidRPr="00B97BEF">
        <w:t>the next level of the subject,</w:t>
      </w:r>
    </w:p>
    <w:p w:rsidR="0049291E" w:rsidRPr="00B97BEF" w:rsidRDefault="005A2834" w:rsidP="00B97BEF">
      <w:pPr>
        <w:numPr>
          <w:ilvl w:val="1"/>
          <w:numId w:val="2"/>
        </w:numPr>
        <w:spacing w:after="0" w:line="240" w:lineRule="auto"/>
      </w:pPr>
      <w:r w:rsidRPr="00B97BEF">
        <w:t>other academic disciplines, or</w:t>
      </w:r>
    </w:p>
    <w:p w:rsidR="0049291E" w:rsidRPr="00B97BEF" w:rsidRDefault="005A2834" w:rsidP="00B97BEF">
      <w:pPr>
        <w:numPr>
          <w:ilvl w:val="1"/>
          <w:numId w:val="2"/>
        </w:numPr>
        <w:spacing w:after="0" w:line="240" w:lineRule="auto"/>
      </w:pPr>
      <w:proofErr w:type="gramStart"/>
      <w:r w:rsidRPr="00B97BEF">
        <w:t>life/college/career</w:t>
      </w:r>
      <w:proofErr w:type="gramEnd"/>
      <w:r w:rsidRPr="00B97BEF">
        <w:t xml:space="preserve">? </w:t>
      </w:r>
    </w:p>
    <w:p w:rsidR="00B97BEF" w:rsidRDefault="00B97BEF"/>
    <w:tbl>
      <w:tblPr>
        <w:tblStyle w:val="TableGrid"/>
        <w:tblW w:w="9571" w:type="dxa"/>
        <w:tblInd w:w="5" w:type="dxa"/>
        <w:tblLook w:val="04A0"/>
      </w:tblPr>
      <w:tblGrid>
        <w:gridCol w:w="5863"/>
        <w:gridCol w:w="1854"/>
        <w:gridCol w:w="1854"/>
      </w:tblGrid>
      <w:tr w:rsidR="00B97BEF" w:rsidTr="00B97BEF">
        <w:trPr>
          <w:trHeight w:val="584"/>
        </w:trPr>
        <w:tc>
          <w:tcPr>
            <w:tcW w:w="5863" w:type="dxa"/>
            <w:vAlign w:val="center"/>
          </w:tcPr>
          <w:p w:rsidR="00B97BEF" w:rsidRDefault="00B97BEF" w:rsidP="00B97BEF">
            <w:pPr>
              <w:jc w:val="center"/>
            </w:pPr>
            <w:r w:rsidRPr="00B97BEF">
              <w:rPr>
                <w:b/>
                <w:bCs/>
              </w:rPr>
              <w:t>Standard</w:t>
            </w:r>
          </w:p>
        </w:tc>
        <w:tc>
          <w:tcPr>
            <w:tcW w:w="1854" w:type="dxa"/>
            <w:vAlign w:val="center"/>
          </w:tcPr>
          <w:p w:rsidR="00B97BEF" w:rsidRPr="00B97BEF" w:rsidRDefault="00B97BEF" w:rsidP="00B97BEF">
            <w:pPr>
              <w:jc w:val="center"/>
              <w:rPr>
                <w:b/>
                <w:bCs/>
              </w:rPr>
            </w:pPr>
            <w:r>
              <w:rPr>
                <w:b/>
                <w:bCs/>
              </w:rPr>
              <w:t>Importance Rating (1-4)</w:t>
            </w:r>
          </w:p>
        </w:tc>
        <w:tc>
          <w:tcPr>
            <w:tcW w:w="1854" w:type="dxa"/>
            <w:vAlign w:val="center"/>
          </w:tcPr>
          <w:p w:rsidR="00B97BEF" w:rsidRPr="00B97BEF" w:rsidRDefault="00B97BEF" w:rsidP="00B97BEF">
            <w:pPr>
              <w:jc w:val="center"/>
              <w:rPr>
                <w:b/>
                <w:bCs/>
              </w:rPr>
            </w:pPr>
            <w:r>
              <w:rPr>
                <w:b/>
                <w:bCs/>
              </w:rPr>
              <w:t>Rank (1</w:t>
            </w:r>
            <w:r w:rsidRPr="00B97BEF">
              <w:rPr>
                <w:b/>
                <w:bCs/>
                <w:vertAlign w:val="superscript"/>
              </w:rPr>
              <w:t>st</w:t>
            </w:r>
            <w:r>
              <w:rPr>
                <w:b/>
                <w:bCs/>
              </w:rPr>
              <w:t>, 2</w:t>
            </w:r>
            <w:r w:rsidRPr="00B97BEF">
              <w:rPr>
                <w:b/>
                <w:bCs/>
                <w:vertAlign w:val="superscript"/>
              </w:rPr>
              <w:t>nd</w:t>
            </w:r>
            <w:r>
              <w:rPr>
                <w:b/>
                <w:bCs/>
              </w:rPr>
              <w:t xml:space="preserve"> etc)</w:t>
            </w:r>
          </w:p>
        </w:tc>
      </w:tr>
      <w:tr w:rsidR="00B97BEF" w:rsidTr="00B97BEF">
        <w:tc>
          <w:tcPr>
            <w:tcW w:w="5863" w:type="dxa"/>
          </w:tcPr>
          <w:p w:rsidR="00B97BEF" w:rsidRDefault="0049291E">
            <w:hyperlink r:id="rId5" w:history="1">
              <w:r w:rsidR="00B97BEF" w:rsidRPr="00B97BEF">
                <w:rPr>
                  <w:rStyle w:val="Hyperlink"/>
                </w:rPr>
                <w:t>CCSS.ELA-LITERACY.RL.5.4</w:t>
              </w:r>
            </w:hyperlink>
            <w:r w:rsidR="00B97BEF" w:rsidRPr="00B97BEF">
              <w:br/>
              <w:t>Determine the meaning of words and phrases as they are used in a text, including figurative language such as metaphors and</w:t>
            </w:r>
            <w:r w:rsidR="00B97BEF">
              <w:t xml:space="preserve"> similes.</w:t>
            </w:r>
          </w:p>
        </w:tc>
        <w:tc>
          <w:tcPr>
            <w:tcW w:w="1854" w:type="dxa"/>
          </w:tcPr>
          <w:p w:rsidR="00B97BEF" w:rsidRPr="00B97BEF" w:rsidRDefault="00B97BEF"/>
        </w:tc>
        <w:tc>
          <w:tcPr>
            <w:tcW w:w="1854" w:type="dxa"/>
          </w:tcPr>
          <w:p w:rsidR="00B97BEF" w:rsidRPr="00B97BEF" w:rsidRDefault="00B97BEF"/>
        </w:tc>
      </w:tr>
      <w:tr w:rsidR="00B97BEF" w:rsidTr="00B97BEF">
        <w:tc>
          <w:tcPr>
            <w:tcW w:w="5863" w:type="dxa"/>
          </w:tcPr>
          <w:p w:rsidR="00B97BEF" w:rsidRDefault="0049291E">
            <w:hyperlink r:id="rId6" w:history="1">
              <w:r w:rsidR="00B97BEF" w:rsidRPr="00B97BEF">
                <w:rPr>
                  <w:rStyle w:val="Hyperlink"/>
                </w:rPr>
                <w:t>CCSS.ELA-LITERACY.RL.5.6</w:t>
              </w:r>
            </w:hyperlink>
            <w:r w:rsidR="00B97BEF" w:rsidRPr="00B97BEF">
              <w:br/>
              <w:t>Describe how a narrator's or speaker's point of view influences how events are described.</w:t>
            </w:r>
          </w:p>
        </w:tc>
        <w:tc>
          <w:tcPr>
            <w:tcW w:w="1854" w:type="dxa"/>
          </w:tcPr>
          <w:p w:rsidR="00B97BEF" w:rsidRPr="00B97BEF" w:rsidRDefault="00B97BEF"/>
        </w:tc>
        <w:tc>
          <w:tcPr>
            <w:tcW w:w="1854" w:type="dxa"/>
          </w:tcPr>
          <w:p w:rsidR="00B97BEF" w:rsidRPr="00B97BEF" w:rsidRDefault="00B97BEF"/>
        </w:tc>
      </w:tr>
      <w:tr w:rsidR="00B97BEF" w:rsidTr="00B97BEF">
        <w:tc>
          <w:tcPr>
            <w:tcW w:w="5863" w:type="dxa"/>
          </w:tcPr>
          <w:p w:rsidR="00B97BEF" w:rsidRDefault="0049291E">
            <w:hyperlink r:id="rId7" w:history="1">
              <w:r w:rsidR="00B97BEF" w:rsidRPr="00B97BEF">
                <w:rPr>
                  <w:rStyle w:val="Hyperlink"/>
                </w:rPr>
                <w:t>CCSS.ELA-LITERACY.RL.5.9</w:t>
              </w:r>
            </w:hyperlink>
            <w:r w:rsidR="00B97BEF" w:rsidRPr="00B97BEF">
              <w:br/>
              <w:t>Compare and contrast stories</w:t>
            </w:r>
            <w:r w:rsidR="00B97BEF">
              <w:t xml:space="preserve"> </w:t>
            </w:r>
            <w:r w:rsidR="00B97BEF" w:rsidRPr="00B97BEF">
              <w:t>in the same genre (e.g., mysteries and adventure stories) on their approaches to similar themes and topics.</w:t>
            </w:r>
          </w:p>
        </w:tc>
        <w:tc>
          <w:tcPr>
            <w:tcW w:w="1854" w:type="dxa"/>
          </w:tcPr>
          <w:p w:rsidR="00B97BEF" w:rsidRPr="00B97BEF" w:rsidRDefault="00B97BEF"/>
        </w:tc>
        <w:tc>
          <w:tcPr>
            <w:tcW w:w="1854" w:type="dxa"/>
          </w:tcPr>
          <w:p w:rsidR="00B97BEF" w:rsidRPr="00B97BEF" w:rsidRDefault="00B97BEF"/>
        </w:tc>
      </w:tr>
      <w:tr w:rsidR="00B97BEF" w:rsidTr="00B97BEF">
        <w:tc>
          <w:tcPr>
            <w:tcW w:w="5863" w:type="dxa"/>
          </w:tcPr>
          <w:p w:rsidR="00B97BEF" w:rsidRDefault="0049291E">
            <w:hyperlink r:id="rId8" w:history="1">
              <w:r w:rsidR="00B97BEF" w:rsidRPr="00B97BEF">
                <w:rPr>
                  <w:rStyle w:val="Hyperlink"/>
                </w:rPr>
                <w:t>CCSS.ELA-LITERACY.RL.5.2</w:t>
              </w:r>
            </w:hyperlink>
            <w:r w:rsidR="00B97BEF" w:rsidRPr="00B97BEF">
              <w:br/>
              <w:t>Determine a theme of a story, drama, or poem from details in the text, including how characters in a story or drama respond to challenges or how the speaker in a poem reflects upon a topic; summarize the text.</w:t>
            </w:r>
          </w:p>
        </w:tc>
        <w:tc>
          <w:tcPr>
            <w:tcW w:w="1854" w:type="dxa"/>
          </w:tcPr>
          <w:p w:rsidR="00B97BEF" w:rsidRPr="00B97BEF" w:rsidRDefault="00B97BEF"/>
        </w:tc>
        <w:tc>
          <w:tcPr>
            <w:tcW w:w="1854" w:type="dxa"/>
          </w:tcPr>
          <w:p w:rsidR="00B97BEF" w:rsidRPr="00B97BEF" w:rsidRDefault="00B97BEF"/>
        </w:tc>
      </w:tr>
    </w:tbl>
    <w:p w:rsidR="00073F66" w:rsidRDefault="007904D2">
      <w:r>
        <w:rPr>
          <w:b/>
          <w:noProof/>
        </w:rPr>
        <w:pict>
          <v:rect id="_x0000_s1026" style="position:absolute;margin-left:-1.05pt;margin-top:11.2pt;width:469.55pt;height:128.55pt;z-index:251658240;mso-position-horizontal-relative:text;mso-position-vertical-relative:text">
            <v:textbox>
              <w:txbxContent>
                <w:p w:rsidR="00B97BEF" w:rsidRPr="00B97BEF" w:rsidRDefault="00B97BEF" w:rsidP="00B97BEF">
                  <w:pPr>
                    <w:rPr>
                      <w:b/>
                    </w:rPr>
                  </w:pPr>
                  <w:r w:rsidRPr="00B97BEF">
                    <w:rPr>
                      <w:b/>
                    </w:rPr>
                    <w:t>Rationale for Rating and Rank</w:t>
                  </w:r>
                </w:p>
                <w:p w:rsidR="00B97BEF" w:rsidRDefault="00B97BEF"/>
              </w:txbxContent>
            </v:textbox>
          </v:rect>
        </w:pict>
      </w:r>
    </w:p>
    <w:p w:rsidR="007904D2" w:rsidRDefault="007904D2">
      <w:pPr>
        <w:rPr>
          <w:b/>
        </w:rPr>
      </w:pPr>
    </w:p>
    <w:p w:rsidR="007904D2" w:rsidRDefault="007904D2">
      <w:pPr>
        <w:rPr>
          <w:b/>
        </w:rPr>
      </w:pPr>
    </w:p>
    <w:p w:rsidR="007904D2" w:rsidRDefault="007904D2">
      <w:pPr>
        <w:rPr>
          <w:b/>
        </w:rPr>
      </w:pPr>
    </w:p>
    <w:p w:rsidR="007904D2" w:rsidRDefault="007904D2">
      <w:pPr>
        <w:rPr>
          <w:b/>
        </w:rPr>
      </w:pPr>
    </w:p>
    <w:p w:rsidR="00B97BEF" w:rsidRDefault="00B97BEF">
      <w:pPr>
        <w:rPr>
          <w:b/>
        </w:rPr>
      </w:pPr>
    </w:p>
    <w:p w:rsidR="007904D2" w:rsidRDefault="007904D2" w:rsidP="007904D2"/>
    <w:p w:rsidR="007904D2" w:rsidRPr="007904D2" w:rsidRDefault="007904D2">
      <w:r w:rsidRPr="007904D2">
        <w:t>*There will be differences in opinion in this activity and variation will be based on the type of course you consider when teaching these standards, the starting points of students, priorities of the district etc.  The point here is to have the conversation and work towards a shared understanding of teaching priorities that can then be reflected appropriately in the assessment.</w:t>
      </w:r>
    </w:p>
    <w:sectPr w:rsidR="007904D2" w:rsidRPr="007904D2" w:rsidSect="007904D2">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45B2"/>
    <w:multiLevelType w:val="hybridMultilevel"/>
    <w:tmpl w:val="EB3ABABE"/>
    <w:lvl w:ilvl="0" w:tplc="A6EEAAF4">
      <w:start w:val="1"/>
      <w:numFmt w:val="bullet"/>
      <w:lvlText w:val="•"/>
      <w:lvlJc w:val="left"/>
      <w:pPr>
        <w:tabs>
          <w:tab w:val="num" w:pos="720"/>
        </w:tabs>
        <w:ind w:left="720" w:hanging="360"/>
      </w:pPr>
      <w:rPr>
        <w:rFonts w:ascii="Arial" w:hAnsi="Arial" w:hint="default"/>
      </w:rPr>
    </w:lvl>
    <w:lvl w:ilvl="1" w:tplc="F1CE1AEA" w:tentative="1">
      <w:start w:val="1"/>
      <w:numFmt w:val="bullet"/>
      <w:lvlText w:val="•"/>
      <w:lvlJc w:val="left"/>
      <w:pPr>
        <w:tabs>
          <w:tab w:val="num" w:pos="1440"/>
        </w:tabs>
        <w:ind w:left="1440" w:hanging="360"/>
      </w:pPr>
      <w:rPr>
        <w:rFonts w:ascii="Arial" w:hAnsi="Arial" w:hint="default"/>
      </w:rPr>
    </w:lvl>
    <w:lvl w:ilvl="2" w:tplc="DC1EFA32" w:tentative="1">
      <w:start w:val="1"/>
      <w:numFmt w:val="bullet"/>
      <w:lvlText w:val="•"/>
      <w:lvlJc w:val="left"/>
      <w:pPr>
        <w:tabs>
          <w:tab w:val="num" w:pos="2160"/>
        </w:tabs>
        <w:ind w:left="2160" w:hanging="360"/>
      </w:pPr>
      <w:rPr>
        <w:rFonts w:ascii="Arial" w:hAnsi="Arial" w:hint="default"/>
      </w:rPr>
    </w:lvl>
    <w:lvl w:ilvl="3" w:tplc="19A8B076" w:tentative="1">
      <w:start w:val="1"/>
      <w:numFmt w:val="bullet"/>
      <w:lvlText w:val="•"/>
      <w:lvlJc w:val="left"/>
      <w:pPr>
        <w:tabs>
          <w:tab w:val="num" w:pos="2880"/>
        </w:tabs>
        <w:ind w:left="2880" w:hanging="360"/>
      </w:pPr>
      <w:rPr>
        <w:rFonts w:ascii="Arial" w:hAnsi="Arial" w:hint="default"/>
      </w:rPr>
    </w:lvl>
    <w:lvl w:ilvl="4" w:tplc="0C14B3A6" w:tentative="1">
      <w:start w:val="1"/>
      <w:numFmt w:val="bullet"/>
      <w:lvlText w:val="•"/>
      <w:lvlJc w:val="left"/>
      <w:pPr>
        <w:tabs>
          <w:tab w:val="num" w:pos="3600"/>
        </w:tabs>
        <w:ind w:left="3600" w:hanging="360"/>
      </w:pPr>
      <w:rPr>
        <w:rFonts w:ascii="Arial" w:hAnsi="Arial" w:hint="default"/>
      </w:rPr>
    </w:lvl>
    <w:lvl w:ilvl="5" w:tplc="5A723C98" w:tentative="1">
      <w:start w:val="1"/>
      <w:numFmt w:val="bullet"/>
      <w:lvlText w:val="•"/>
      <w:lvlJc w:val="left"/>
      <w:pPr>
        <w:tabs>
          <w:tab w:val="num" w:pos="4320"/>
        </w:tabs>
        <w:ind w:left="4320" w:hanging="360"/>
      </w:pPr>
      <w:rPr>
        <w:rFonts w:ascii="Arial" w:hAnsi="Arial" w:hint="default"/>
      </w:rPr>
    </w:lvl>
    <w:lvl w:ilvl="6" w:tplc="0BDE9AB4" w:tentative="1">
      <w:start w:val="1"/>
      <w:numFmt w:val="bullet"/>
      <w:lvlText w:val="•"/>
      <w:lvlJc w:val="left"/>
      <w:pPr>
        <w:tabs>
          <w:tab w:val="num" w:pos="5040"/>
        </w:tabs>
        <w:ind w:left="5040" w:hanging="360"/>
      </w:pPr>
      <w:rPr>
        <w:rFonts w:ascii="Arial" w:hAnsi="Arial" w:hint="default"/>
      </w:rPr>
    </w:lvl>
    <w:lvl w:ilvl="7" w:tplc="9224D1B6" w:tentative="1">
      <w:start w:val="1"/>
      <w:numFmt w:val="bullet"/>
      <w:lvlText w:val="•"/>
      <w:lvlJc w:val="left"/>
      <w:pPr>
        <w:tabs>
          <w:tab w:val="num" w:pos="5760"/>
        </w:tabs>
        <w:ind w:left="5760" w:hanging="360"/>
      </w:pPr>
      <w:rPr>
        <w:rFonts w:ascii="Arial" w:hAnsi="Arial" w:hint="default"/>
      </w:rPr>
    </w:lvl>
    <w:lvl w:ilvl="8" w:tplc="AB28C358" w:tentative="1">
      <w:start w:val="1"/>
      <w:numFmt w:val="bullet"/>
      <w:lvlText w:val="•"/>
      <w:lvlJc w:val="left"/>
      <w:pPr>
        <w:tabs>
          <w:tab w:val="num" w:pos="6480"/>
        </w:tabs>
        <w:ind w:left="6480" w:hanging="360"/>
      </w:pPr>
      <w:rPr>
        <w:rFonts w:ascii="Arial" w:hAnsi="Arial" w:hint="default"/>
      </w:rPr>
    </w:lvl>
  </w:abstractNum>
  <w:abstractNum w:abstractNumId="1">
    <w:nsid w:val="2808646C"/>
    <w:multiLevelType w:val="hybridMultilevel"/>
    <w:tmpl w:val="B13244AC"/>
    <w:lvl w:ilvl="0" w:tplc="C8A03318">
      <w:start w:val="1"/>
      <w:numFmt w:val="decimal"/>
      <w:lvlText w:val="%1."/>
      <w:lvlJc w:val="left"/>
      <w:pPr>
        <w:tabs>
          <w:tab w:val="num" w:pos="720"/>
        </w:tabs>
        <w:ind w:left="720" w:hanging="360"/>
      </w:pPr>
    </w:lvl>
    <w:lvl w:ilvl="1" w:tplc="6D4EBB80">
      <w:start w:val="1"/>
      <w:numFmt w:val="lowerRoman"/>
      <w:lvlText w:val="%2."/>
      <w:lvlJc w:val="right"/>
      <w:pPr>
        <w:tabs>
          <w:tab w:val="num" w:pos="1440"/>
        </w:tabs>
        <w:ind w:left="1440" w:hanging="360"/>
      </w:pPr>
    </w:lvl>
    <w:lvl w:ilvl="2" w:tplc="B6EC1F46" w:tentative="1">
      <w:start w:val="1"/>
      <w:numFmt w:val="decimal"/>
      <w:lvlText w:val="%3."/>
      <w:lvlJc w:val="left"/>
      <w:pPr>
        <w:tabs>
          <w:tab w:val="num" w:pos="2160"/>
        </w:tabs>
        <w:ind w:left="2160" w:hanging="360"/>
      </w:pPr>
    </w:lvl>
    <w:lvl w:ilvl="3" w:tplc="2C0AF80E" w:tentative="1">
      <w:start w:val="1"/>
      <w:numFmt w:val="decimal"/>
      <w:lvlText w:val="%4."/>
      <w:lvlJc w:val="left"/>
      <w:pPr>
        <w:tabs>
          <w:tab w:val="num" w:pos="2880"/>
        </w:tabs>
        <w:ind w:left="2880" w:hanging="360"/>
      </w:pPr>
    </w:lvl>
    <w:lvl w:ilvl="4" w:tplc="DF2AE2B8" w:tentative="1">
      <w:start w:val="1"/>
      <w:numFmt w:val="decimal"/>
      <w:lvlText w:val="%5."/>
      <w:lvlJc w:val="left"/>
      <w:pPr>
        <w:tabs>
          <w:tab w:val="num" w:pos="3600"/>
        </w:tabs>
        <w:ind w:left="3600" w:hanging="360"/>
      </w:pPr>
    </w:lvl>
    <w:lvl w:ilvl="5" w:tplc="30187CAA" w:tentative="1">
      <w:start w:val="1"/>
      <w:numFmt w:val="decimal"/>
      <w:lvlText w:val="%6."/>
      <w:lvlJc w:val="left"/>
      <w:pPr>
        <w:tabs>
          <w:tab w:val="num" w:pos="4320"/>
        </w:tabs>
        <w:ind w:left="4320" w:hanging="360"/>
      </w:pPr>
    </w:lvl>
    <w:lvl w:ilvl="6" w:tplc="09F8C218" w:tentative="1">
      <w:start w:val="1"/>
      <w:numFmt w:val="decimal"/>
      <w:lvlText w:val="%7."/>
      <w:lvlJc w:val="left"/>
      <w:pPr>
        <w:tabs>
          <w:tab w:val="num" w:pos="5040"/>
        </w:tabs>
        <w:ind w:left="5040" w:hanging="360"/>
      </w:pPr>
    </w:lvl>
    <w:lvl w:ilvl="7" w:tplc="C28644C4" w:tentative="1">
      <w:start w:val="1"/>
      <w:numFmt w:val="decimal"/>
      <w:lvlText w:val="%8."/>
      <w:lvlJc w:val="left"/>
      <w:pPr>
        <w:tabs>
          <w:tab w:val="num" w:pos="5760"/>
        </w:tabs>
        <w:ind w:left="5760" w:hanging="360"/>
      </w:pPr>
    </w:lvl>
    <w:lvl w:ilvl="8" w:tplc="9A22B68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7BEF"/>
    <w:rsid w:val="00073F66"/>
    <w:rsid w:val="003C6438"/>
    <w:rsid w:val="0049291E"/>
    <w:rsid w:val="005A2834"/>
    <w:rsid w:val="007904D2"/>
    <w:rsid w:val="008679FE"/>
    <w:rsid w:val="00B97BEF"/>
    <w:rsid w:val="00F5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BEF"/>
    <w:rPr>
      <w:color w:val="0000FF" w:themeColor="hyperlink"/>
      <w:u w:val="single"/>
    </w:rPr>
  </w:style>
  <w:style w:type="table" w:styleId="TableGrid">
    <w:name w:val="Table Grid"/>
    <w:basedOn w:val="TableNormal"/>
    <w:uiPriority w:val="59"/>
    <w:rsid w:val="00B97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581370">
      <w:bodyDiv w:val="1"/>
      <w:marLeft w:val="0"/>
      <w:marRight w:val="0"/>
      <w:marTop w:val="0"/>
      <w:marBottom w:val="0"/>
      <w:divBdr>
        <w:top w:val="none" w:sz="0" w:space="0" w:color="auto"/>
        <w:left w:val="none" w:sz="0" w:space="0" w:color="auto"/>
        <w:bottom w:val="none" w:sz="0" w:space="0" w:color="auto"/>
        <w:right w:val="none" w:sz="0" w:space="0" w:color="auto"/>
      </w:divBdr>
      <w:divsChild>
        <w:div w:id="1042755635">
          <w:marLeft w:val="720"/>
          <w:marRight w:val="0"/>
          <w:marTop w:val="0"/>
          <w:marBottom w:val="0"/>
          <w:divBdr>
            <w:top w:val="none" w:sz="0" w:space="0" w:color="auto"/>
            <w:left w:val="none" w:sz="0" w:space="0" w:color="auto"/>
            <w:bottom w:val="none" w:sz="0" w:space="0" w:color="auto"/>
            <w:right w:val="none" w:sz="0" w:space="0" w:color="auto"/>
          </w:divBdr>
        </w:div>
        <w:div w:id="674766047">
          <w:marLeft w:val="720"/>
          <w:marRight w:val="0"/>
          <w:marTop w:val="0"/>
          <w:marBottom w:val="0"/>
          <w:divBdr>
            <w:top w:val="none" w:sz="0" w:space="0" w:color="auto"/>
            <w:left w:val="none" w:sz="0" w:space="0" w:color="auto"/>
            <w:bottom w:val="none" w:sz="0" w:space="0" w:color="auto"/>
            <w:right w:val="none" w:sz="0" w:space="0" w:color="auto"/>
          </w:divBdr>
        </w:div>
        <w:div w:id="869994691">
          <w:marLeft w:val="720"/>
          <w:marRight w:val="0"/>
          <w:marTop w:val="0"/>
          <w:marBottom w:val="0"/>
          <w:divBdr>
            <w:top w:val="none" w:sz="0" w:space="0" w:color="auto"/>
            <w:left w:val="none" w:sz="0" w:space="0" w:color="auto"/>
            <w:bottom w:val="none" w:sz="0" w:space="0" w:color="auto"/>
            <w:right w:val="none" w:sz="0" w:space="0" w:color="auto"/>
          </w:divBdr>
        </w:div>
      </w:divsChild>
    </w:div>
    <w:div w:id="496653572">
      <w:bodyDiv w:val="1"/>
      <w:marLeft w:val="0"/>
      <w:marRight w:val="0"/>
      <w:marTop w:val="0"/>
      <w:marBottom w:val="0"/>
      <w:divBdr>
        <w:top w:val="none" w:sz="0" w:space="0" w:color="auto"/>
        <w:left w:val="none" w:sz="0" w:space="0" w:color="auto"/>
        <w:bottom w:val="none" w:sz="0" w:space="0" w:color="auto"/>
        <w:right w:val="none" w:sz="0" w:space="0" w:color="auto"/>
      </w:divBdr>
    </w:div>
    <w:div w:id="597982264">
      <w:bodyDiv w:val="1"/>
      <w:marLeft w:val="0"/>
      <w:marRight w:val="0"/>
      <w:marTop w:val="0"/>
      <w:marBottom w:val="0"/>
      <w:divBdr>
        <w:top w:val="none" w:sz="0" w:space="0" w:color="auto"/>
        <w:left w:val="none" w:sz="0" w:space="0" w:color="auto"/>
        <w:bottom w:val="none" w:sz="0" w:space="0" w:color="auto"/>
        <w:right w:val="none" w:sz="0" w:space="0" w:color="auto"/>
      </w:divBdr>
    </w:div>
    <w:div w:id="723255911">
      <w:bodyDiv w:val="1"/>
      <w:marLeft w:val="0"/>
      <w:marRight w:val="0"/>
      <w:marTop w:val="0"/>
      <w:marBottom w:val="0"/>
      <w:divBdr>
        <w:top w:val="none" w:sz="0" w:space="0" w:color="auto"/>
        <w:left w:val="none" w:sz="0" w:space="0" w:color="auto"/>
        <w:bottom w:val="none" w:sz="0" w:space="0" w:color="auto"/>
        <w:right w:val="none" w:sz="0" w:space="0" w:color="auto"/>
      </w:divBdr>
      <w:divsChild>
        <w:div w:id="297994334">
          <w:marLeft w:val="806"/>
          <w:marRight w:val="0"/>
          <w:marTop w:val="0"/>
          <w:marBottom w:val="0"/>
          <w:divBdr>
            <w:top w:val="none" w:sz="0" w:space="0" w:color="auto"/>
            <w:left w:val="none" w:sz="0" w:space="0" w:color="auto"/>
            <w:bottom w:val="none" w:sz="0" w:space="0" w:color="auto"/>
            <w:right w:val="none" w:sz="0" w:space="0" w:color="auto"/>
          </w:divBdr>
        </w:div>
        <w:div w:id="2046051751">
          <w:marLeft w:val="806"/>
          <w:marRight w:val="0"/>
          <w:marTop w:val="0"/>
          <w:marBottom w:val="0"/>
          <w:divBdr>
            <w:top w:val="none" w:sz="0" w:space="0" w:color="auto"/>
            <w:left w:val="none" w:sz="0" w:space="0" w:color="auto"/>
            <w:bottom w:val="none" w:sz="0" w:space="0" w:color="auto"/>
            <w:right w:val="none" w:sz="0" w:space="0" w:color="auto"/>
          </w:divBdr>
        </w:div>
        <w:div w:id="1051344783">
          <w:marLeft w:val="1627"/>
          <w:marRight w:val="0"/>
          <w:marTop w:val="0"/>
          <w:marBottom w:val="0"/>
          <w:divBdr>
            <w:top w:val="none" w:sz="0" w:space="0" w:color="auto"/>
            <w:left w:val="none" w:sz="0" w:space="0" w:color="auto"/>
            <w:bottom w:val="none" w:sz="0" w:space="0" w:color="auto"/>
            <w:right w:val="none" w:sz="0" w:space="0" w:color="auto"/>
          </w:divBdr>
        </w:div>
        <w:div w:id="1564606739">
          <w:marLeft w:val="1627"/>
          <w:marRight w:val="0"/>
          <w:marTop w:val="0"/>
          <w:marBottom w:val="0"/>
          <w:divBdr>
            <w:top w:val="none" w:sz="0" w:space="0" w:color="auto"/>
            <w:left w:val="none" w:sz="0" w:space="0" w:color="auto"/>
            <w:bottom w:val="none" w:sz="0" w:space="0" w:color="auto"/>
            <w:right w:val="none" w:sz="0" w:space="0" w:color="auto"/>
          </w:divBdr>
        </w:div>
        <w:div w:id="1005865607">
          <w:marLeft w:val="1627"/>
          <w:marRight w:val="0"/>
          <w:marTop w:val="0"/>
          <w:marBottom w:val="0"/>
          <w:divBdr>
            <w:top w:val="none" w:sz="0" w:space="0" w:color="auto"/>
            <w:left w:val="none" w:sz="0" w:space="0" w:color="auto"/>
            <w:bottom w:val="none" w:sz="0" w:space="0" w:color="auto"/>
            <w:right w:val="none" w:sz="0" w:space="0" w:color="auto"/>
          </w:divBdr>
        </w:div>
      </w:divsChild>
    </w:div>
    <w:div w:id="779885058">
      <w:bodyDiv w:val="1"/>
      <w:marLeft w:val="0"/>
      <w:marRight w:val="0"/>
      <w:marTop w:val="0"/>
      <w:marBottom w:val="0"/>
      <w:divBdr>
        <w:top w:val="none" w:sz="0" w:space="0" w:color="auto"/>
        <w:left w:val="none" w:sz="0" w:space="0" w:color="auto"/>
        <w:bottom w:val="none" w:sz="0" w:space="0" w:color="auto"/>
        <w:right w:val="none" w:sz="0" w:space="0" w:color="auto"/>
      </w:divBdr>
    </w:div>
    <w:div w:id="15360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5/2/" TargetMode="External"/><Relationship Id="rId3" Type="http://schemas.openxmlformats.org/officeDocument/2006/relationships/settings" Target="settings.xml"/><Relationship Id="rId7" Type="http://schemas.openxmlformats.org/officeDocument/2006/relationships/hyperlink" Target="http://www.corestandards.org/ELA-Literacy/RL/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5/6/" TargetMode="External"/><Relationship Id="rId5" Type="http://schemas.openxmlformats.org/officeDocument/2006/relationships/hyperlink" Target="http://www.corestandards.org/ELA-Literacy/RL/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1658</Characters>
  <Application>Microsoft Office Word</Application>
  <DocSecurity>0</DocSecurity>
  <Lines>92</Lines>
  <Paragraphs>46</Paragraphs>
  <ScaleCrop>false</ScaleCrop>
  <Company>NJ Dept of Education</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dc:creator>
  <cp:lastModifiedBy>cblancha</cp:lastModifiedBy>
  <cp:revision>3</cp:revision>
  <dcterms:created xsi:type="dcterms:W3CDTF">2014-05-27T20:14:00Z</dcterms:created>
  <dcterms:modified xsi:type="dcterms:W3CDTF">2014-05-27T20:18:00Z</dcterms:modified>
</cp:coreProperties>
</file>